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42" w:rsidRPr="00F63CF4" w:rsidRDefault="00F63CF4" w:rsidP="005469E1">
      <w:pPr>
        <w:pStyle w:val="Heading2"/>
        <w:spacing w:after="60"/>
        <w:rPr>
          <w:sz w:val="30"/>
          <w:szCs w:val="30"/>
          <w:lang w:val="en-AU"/>
        </w:rPr>
      </w:pPr>
      <w:bookmarkStart w:id="0" w:name="_Toc303089122"/>
      <w:r>
        <w:rPr>
          <w:noProof/>
          <w:sz w:val="30"/>
          <w:szCs w:val="3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18E56DB" wp14:editId="1CA6C775">
            <wp:simplePos x="0" y="0"/>
            <wp:positionH relativeFrom="column">
              <wp:posOffset>4631690</wp:posOffset>
            </wp:positionH>
            <wp:positionV relativeFrom="paragraph">
              <wp:posOffset>51435</wp:posOffset>
            </wp:positionV>
            <wp:extent cx="1082040" cy="1429385"/>
            <wp:effectExtent l="0" t="0" r="3810" b="0"/>
            <wp:wrapTight wrapText="bothSides">
              <wp:wrapPolygon edited="0">
                <wp:start x="0" y="0"/>
                <wp:lineTo x="0" y="21303"/>
                <wp:lineTo x="21296" y="21303"/>
                <wp:lineTo x="21296" y="0"/>
                <wp:lineTo x="0" y="0"/>
              </wp:wrapPolygon>
            </wp:wrapTight>
            <wp:docPr id="1" name="Picture 1" descr="CA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 logo with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  <w:lang w:val="en-AU"/>
        </w:rPr>
        <w:t>WC</w:t>
      </w:r>
      <w:r w:rsidR="00E86F86">
        <w:rPr>
          <w:sz w:val="30"/>
          <w:szCs w:val="30"/>
          <w:lang w:val="en-AU"/>
        </w:rPr>
        <w:t>57</w:t>
      </w:r>
      <w:r>
        <w:rPr>
          <w:sz w:val="30"/>
          <w:szCs w:val="30"/>
          <w:lang w:val="en-AU"/>
        </w:rPr>
        <w:t xml:space="preserve"> : </w:t>
      </w:r>
      <w:r w:rsidR="00CB6453">
        <w:rPr>
          <w:sz w:val="30"/>
          <w:szCs w:val="30"/>
          <w:lang w:val="en-AU"/>
        </w:rPr>
        <w:t>Calling Number Display</w:t>
      </w:r>
      <w:r w:rsidR="003446E7" w:rsidRPr="003446E7">
        <w:rPr>
          <w:sz w:val="30"/>
          <w:szCs w:val="30"/>
          <w:lang w:val="en-AU"/>
        </w:rPr>
        <w:t xml:space="preserve"> Revision </w:t>
      </w:r>
      <w:r w:rsidR="00CD5042" w:rsidRPr="00F63CF4">
        <w:rPr>
          <w:sz w:val="30"/>
          <w:szCs w:val="30"/>
          <w:lang w:val="en-AU"/>
        </w:rPr>
        <w:t>Working</w:t>
      </w:r>
      <w:r w:rsidR="00F679A6">
        <w:rPr>
          <w:sz w:val="30"/>
          <w:szCs w:val="30"/>
          <w:lang w:val="en-AU"/>
        </w:rPr>
        <w:t> </w:t>
      </w:r>
      <w:r w:rsidR="00CD5042" w:rsidRPr="00F63CF4">
        <w:rPr>
          <w:sz w:val="30"/>
          <w:szCs w:val="30"/>
          <w:lang w:val="en-AU"/>
        </w:rPr>
        <w:t>Committee</w:t>
      </w:r>
    </w:p>
    <w:p w:rsidR="00C4263B" w:rsidRDefault="00C4263B" w:rsidP="005469E1">
      <w:pPr>
        <w:pStyle w:val="Heading2"/>
        <w:spacing w:before="240" w:after="60"/>
        <w:rPr>
          <w:sz w:val="30"/>
          <w:szCs w:val="30"/>
          <w:lang w:val="en-AU"/>
        </w:rPr>
      </w:pPr>
    </w:p>
    <w:p w:rsidR="00C4263B" w:rsidRDefault="00C4263B" w:rsidP="005469E1">
      <w:pPr>
        <w:pStyle w:val="Heading2"/>
        <w:spacing w:before="240" w:after="60"/>
        <w:rPr>
          <w:sz w:val="30"/>
          <w:szCs w:val="30"/>
          <w:lang w:val="en-AU"/>
        </w:rPr>
      </w:pPr>
    </w:p>
    <w:p w:rsidR="00CD5042" w:rsidRDefault="00CD5042" w:rsidP="005469E1">
      <w:pPr>
        <w:pStyle w:val="Heading2"/>
        <w:spacing w:before="240" w:after="60"/>
        <w:rPr>
          <w:sz w:val="30"/>
          <w:szCs w:val="30"/>
          <w:lang w:val="en-AU"/>
        </w:rPr>
      </w:pPr>
      <w:r w:rsidRPr="00F63CF4">
        <w:rPr>
          <w:sz w:val="30"/>
          <w:szCs w:val="30"/>
          <w:lang w:val="en-AU"/>
        </w:rPr>
        <w:t>Terms of Reference</w:t>
      </w:r>
      <w:bookmarkEnd w:id="0"/>
    </w:p>
    <w:p w:rsidR="0052085A" w:rsidRDefault="0052085A" w:rsidP="00F679A6">
      <w:pPr>
        <w:spacing w:before="120"/>
        <w:ind w:right="95"/>
        <w:rPr>
          <w:rFonts w:ascii="Century Gothic" w:hAnsi="Century Gothic"/>
          <w:sz w:val="22"/>
          <w:szCs w:val="22"/>
        </w:rPr>
      </w:pPr>
    </w:p>
    <w:p w:rsidR="00F42E28" w:rsidRPr="00F42E28" w:rsidRDefault="003446E7" w:rsidP="00F42E28">
      <w:pPr>
        <w:pStyle w:val="ACIFNormal"/>
        <w:rPr>
          <w:sz w:val="22"/>
          <w:szCs w:val="22"/>
          <w:lang w:val="en-AU"/>
        </w:rPr>
      </w:pPr>
      <w:bookmarkStart w:id="1" w:name="_GoBack"/>
      <w:r w:rsidRPr="00F42E28">
        <w:rPr>
          <w:sz w:val="22"/>
          <w:szCs w:val="22"/>
        </w:rPr>
        <w:t xml:space="preserve">The </w:t>
      </w:r>
      <w:proofErr w:type="gramStart"/>
      <w:r w:rsidRPr="00F42E28">
        <w:rPr>
          <w:sz w:val="22"/>
          <w:szCs w:val="22"/>
        </w:rPr>
        <w:t>WC</w:t>
      </w:r>
      <w:r w:rsidR="00E86F86" w:rsidRPr="00F42E28">
        <w:rPr>
          <w:sz w:val="22"/>
          <w:szCs w:val="22"/>
        </w:rPr>
        <w:t>57</w:t>
      </w:r>
      <w:r w:rsidRPr="00F42E28">
        <w:rPr>
          <w:sz w:val="22"/>
          <w:szCs w:val="22"/>
        </w:rPr>
        <w:t xml:space="preserve"> :</w:t>
      </w:r>
      <w:proofErr w:type="gramEnd"/>
      <w:r w:rsidRPr="00F42E28">
        <w:rPr>
          <w:sz w:val="22"/>
          <w:szCs w:val="22"/>
        </w:rPr>
        <w:t xml:space="preserve"> </w:t>
      </w:r>
      <w:r w:rsidR="00CB6453" w:rsidRPr="00F42E28">
        <w:rPr>
          <w:b/>
          <w:i/>
          <w:sz w:val="22"/>
          <w:szCs w:val="22"/>
        </w:rPr>
        <w:t>Calling Number Display</w:t>
      </w:r>
      <w:r w:rsidR="00CB6453" w:rsidRPr="00F42E28">
        <w:rPr>
          <w:sz w:val="22"/>
          <w:szCs w:val="22"/>
        </w:rPr>
        <w:t xml:space="preserve"> </w:t>
      </w:r>
      <w:r w:rsidRPr="00F42E28">
        <w:rPr>
          <w:b/>
          <w:i/>
          <w:sz w:val="22"/>
          <w:szCs w:val="22"/>
        </w:rPr>
        <w:t>Revision</w:t>
      </w:r>
      <w:r w:rsidRPr="00F42E28">
        <w:rPr>
          <w:sz w:val="22"/>
          <w:szCs w:val="22"/>
        </w:rPr>
        <w:t xml:space="preserve"> Working Committee has been established to perform an area of work identified by the </w:t>
      </w:r>
      <w:r w:rsidR="00CB6453" w:rsidRPr="00F42E28">
        <w:rPr>
          <w:sz w:val="22"/>
          <w:szCs w:val="22"/>
        </w:rPr>
        <w:t>Industry Consumer Advisory Group</w:t>
      </w:r>
      <w:r w:rsidRPr="00F42E28">
        <w:rPr>
          <w:sz w:val="22"/>
          <w:szCs w:val="22"/>
        </w:rPr>
        <w:t xml:space="preserve"> (</w:t>
      </w:r>
      <w:r w:rsidR="00CB6453" w:rsidRPr="00F42E28">
        <w:rPr>
          <w:sz w:val="22"/>
          <w:szCs w:val="22"/>
        </w:rPr>
        <w:t>ICAG</w:t>
      </w:r>
      <w:r w:rsidRPr="00F42E28">
        <w:rPr>
          <w:sz w:val="22"/>
          <w:szCs w:val="22"/>
        </w:rPr>
        <w:t xml:space="preserve">). </w:t>
      </w:r>
      <w:r w:rsidR="00F42E28" w:rsidRPr="00F42E28">
        <w:rPr>
          <w:sz w:val="22"/>
          <w:szCs w:val="22"/>
          <w:lang w:val="en-AU"/>
        </w:rPr>
        <w:t>This Committee in carrying out the specific terms below is to observe the following guidelines, as appropriate:</w:t>
      </w:r>
    </w:p>
    <w:p w:rsidR="00F42E28" w:rsidRPr="00F42E28" w:rsidRDefault="00F42E28" w:rsidP="00F42E28">
      <w:pPr>
        <w:pStyle w:val="ACIFNormal"/>
        <w:numPr>
          <w:ilvl w:val="0"/>
          <w:numId w:val="2"/>
        </w:numPr>
        <w:rPr>
          <w:sz w:val="22"/>
          <w:szCs w:val="22"/>
          <w:lang w:val="en-AU"/>
        </w:rPr>
      </w:pPr>
      <w:r w:rsidRPr="00F42E28">
        <w:rPr>
          <w:sz w:val="22"/>
          <w:szCs w:val="22"/>
          <w:lang w:val="en-AU"/>
        </w:rPr>
        <w:t xml:space="preserve">to ensure that if the Code is to be registered with ACMA that it comply with Part 6 of the </w:t>
      </w:r>
      <w:r w:rsidRPr="00F42E28">
        <w:rPr>
          <w:i/>
          <w:sz w:val="22"/>
          <w:szCs w:val="22"/>
          <w:lang w:val="en-AU"/>
        </w:rPr>
        <w:t>Telecommunications Act 1997</w:t>
      </w:r>
      <w:r w:rsidRPr="00F42E28">
        <w:rPr>
          <w:sz w:val="22"/>
          <w:szCs w:val="22"/>
          <w:lang w:val="en-AU"/>
        </w:rPr>
        <w:t xml:space="preserve"> and the ACMA </w:t>
      </w:r>
      <w:r w:rsidR="001A6BB9">
        <w:rPr>
          <w:sz w:val="22"/>
          <w:szCs w:val="22"/>
          <w:lang w:val="en-AU"/>
        </w:rPr>
        <w:t>‘</w:t>
      </w:r>
      <w:r w:rsidRPr="00F42E28">
        <w:rPr>
          <w:i/>
          <w:sz w:val="22"/>
          <w:szCs w:val="22"/>
          <w:lang w:val="en-AU"/>
        </w:rPr>
        <w:t>Developing Telecommunications Codes for registration – a Guide</w:t>
      </w:r>
      <w:r w:rsidR="001A6BB9">
        <w:rPr>
          <w:sz w:val="22"/>
          <w:szCs w:val="22"/>
          <w:lang w:val="en-AU"/>
        </w:rPr>
        <w:t>’</w:t>
      </w:r>
      <w:r w:rsidRPr="00F42E28">
        <w:rPr>
          <w:sz w:val="22"/>
          <w:szCs w:val="22"/>
          <w:lang w:val="en-AU"/>
        </w:rPr>
        <w:t xml:space="preserve"> including the identification of:</w:t>
      </w:r>
    </w:p>
    <w:p w:rsidR="00F42E28" w:rsidRPr="00F42E28" w:rsidRDefault="00F42E28" w:rsidP="001A6BB9">
      <w:pPr>
        <w:pStyle w:val="ACIFNormal"/>
        <w:numPr>
          <w:ilvl w:val="1"/>
          <w:numId w:val="2"/>
        </w:numPr>
        <w:tabs>
          <w:tab w:val="clear" w:pos="1440"/>
          <w:tab w:val="left" w:pos="1134"/>
        </w:tabs>
        <w:ind w:left="1134"/>
        <w:rPr>
          <w:sz w:val="22"/>
          <w:szCs w:val="22"/>
          <w:lang w:val="en-AU"/>
        </w:rPr>
      </w:pPr>
      <w:r w:rsidRPr="00F42E28">
        <w:rPr>
          <w:sz w:val="22"/>
          <w:szCs w:val="22"/>
          <w:lang w:val="en-AU"/>
        </w:rPr>
        <w:t>the sections of the industry that are to be covered by the Code, as per s.110 of the Act; and</w:t>
      </w:r>
    </w:p>
    <w:p w:rsidR="00F42E28" w:rsidRPr="00F42E28" w:rsidRDefault="00F42E28" w:rsidP="001A6BB9">
      <w:pPr>
        <w:pStyle w:val="ACIFNormal"/>
        <w:numPr>
          <w:ilvl w:val="1"/>
          <w:numId w:val="2"/>
        </w:numPr>
        <w:tabs>
          <w:tab w:val="clear" w:pos="1440"/>
          <w:tab w:val="left" w:pos="1134"/>
        </w:tabs>
        <w:ind w:left="1134"/>
        <w:rPr>
          <w:sz w:val="22"/>
          <w:szCs w:val="22"/>
          <w:lang w:val="en-AU"/>
        </w:rPr>
      </w:pPr>
      <w:proofErr w:type="gramStart"/>
      <w:r w:rsidRPr="00F42E28">
        <w:rPr>
          <w:sz w:val="22"/>
          <w:szCs w:val="22"/>
          <w:lang w:val="en-AU"/>
        </w:rPr>
        <w:t>the</w:t>
      </w:r>
      <w:proofErr w:type="gramEnd"/>
      <w:r w:rsidRPr="00F42E28">
        <w:rPr>
          <w:sz w:val="22"/>
          <w:szCs w:val="22"/>
          <w:lang w:val="en-AU"/>
        </w:rPr>
        <w:t xml:space="preserve"> telecommunications activities to be covered by the Code, as per s.109 of the Act.</w:t>
      </w:r>
    </w:p>
    <w:p w:rsidR="00F42E28" w:rsidRPr="00F42E28" w:rsidRDefault="00F42E28" w:rsidP="00F42E28">
      <w:pPr>
        <w:pStyle w:val="ACIFNormal"/>
        <w:rPr>
          <w:sz w:val="22"/>
          <w:szCs w:val="22"/>
        </w:rPr>
      </w:pPr>
      <w:r w:rsidRPr="00F42E28">
        <w:rPr>
          <w:sz w:val="22"/>
          <w:szCs w:val="22"/>
        </w:rPr>
        <w:t xml:space="preserve">Specifically the Working Committee is to revise the </w:t>
      </w:r>
      <w:r w:rsidRPr="00F42E28">
        <w:rPr>
          <w:b/>
          <w:i/>
          <w:sz w:val="22"/>
          <w:szCs w:val="22"/>
        </w:rPr>
        <w:t>Calling Number Display</w:t>
      </w:r>
      <w:r w:rsidRPr="00F42E28">
        <w:rPr>
          <w:sz w:val="22"/>
          <w:szCs w:val="22"/>
        </w:rPr>
        <w:t xml:space="preserve"> Code </w:t>
      </w:r>
      <w:r w:rsidR="00574DF1">
        <w:rPr>
          <w:sz w:val="22"/>
          <w:szCs w:val="22"/>
        </w:rPr>
        <w:t xml:space="preserve">(ACIF </w:t>
      </w:r>
      <w:r w:rsidR="00574DF1" w:rsidRPr="00F42E28">
        <w:rPr>
          <w:sz w:val="22"/>
          <w:szCs w:val="22"/>
        </w:rPr>
        <w:t>C522:2007</w:t>
      </w:r>
      <w:r w:rsidR="00574DF1">
        <w:rPr>
          <w:sz w:val="22"/>
          <w:szCs w:val="22"/>
        </w:rPr>
        <w:t>)</w:t>
      </w:r>
      <w:r w:rsidR="00574DF1" w:rsidRPr="00F42E28">
        <w:rPr>
          <w:sz w:val="22"/>
          <w:szCs w:val="22"/>
        </w:rPr>
        <w:t xml:space="preserve"> taking into consideration the following</w:t>
      </w:r>
      <w:r w:rsidRPr="00F42E28">
        <w:rPr>
          <w:sz w:val="22"/>
          <w:szCs w:val="22"/>
        </w:rPr>
        <w:t>:</w:t>
      </w:r>
    </w:p>
    <w:p w:rsidR="009F214F" w:rsidRPr="00F42E28" w:rsidRDefault="00FF3C8C" w:rsidP="009F214F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F42E28">
        <w:rPr>
          <w:rFonts w:ascii="Century Gothic" w:hAnsi="Century Gothic"/>
          <w:sz w:val="22"/>
          <w:szCs w:val="22"/>
        </w:rPr>
        <w:t>to</w:t>
      </w:r>
      <w:proofErr w:type="gramEnd"/>
      <w:r w:rsidR="009F214F" w:rsidRPr="00F42E28">
        <w:rPr>
          <w:rFonts w:ascii="Century Gothic" w:hAnsi="Century Gothic"/>
          <w:sz w:val="22"/>
          <w:szCs w:val="22"/>
        </w:rPr>
        <w:t xml:space="preserve"> review Section 4 </w:t>
      </w:r>
      <w:r w:rsidR="00434A62" w:rsidRPr="00F42E28">
        <w:rPr>
          <w:rFonts w:ascii="Century Gothic" w:hAnsi="Century Gothic"/>
          <w:sz w:val="22"/>
          <w:szCs w:val="22"/>
        </w:rPr>
        <w:t xml:space="preserve">of the Code to ensure that </w:t>
      </w:r>
      <w:r w:rsidR="009F214F" w:rsidRPr="00F42E28">
        <w:rPr>
          <w:rFonts w:ascii="Century Gothic" w:hAnsi="Century Gothic"/>
          <w:sz w:val="22"/>
          <w:szCs w:val="22"/>
        </w:rPr>
        <w:t xml:space="preserve">the suppliers’ obligations </w:t>
      </w:r>
      <w:r w:rsidR="00434A62" w:rsidRPr="00F42E28">
        <w:rPr>
          <w:rFonts w:ascii="Century Gothic" w:hAnsi="Century Gothic"/>
          <w:sz w:val="22"/>
          <w:szCs w:val="22"/>
        </w:rPr>
        <w:t>in providing information to Customers remain clear and are current, including aspects relating to telemarketers.</w:t>
      </w:r>
      <w:r w:rsidR="00727DA3" w:rsidRPr="00F42E28">
        <w:rPr>
          <w:rFonts w:ascii="Century Gothic" w:hAnsi="Century Gothic"/>
          <w:sz w:val="22"/>
          <w:szCs w:val="22"/>
        </w:rPr>
        <w:t xml:space="preserve"> </w:t>
      </w:r>
    </w:p>
    <w:p w:rsidR="00FF3C8C" w:rsidRPr="00F42E28" w:rsidRDefault="00FF3C8C" w:rsidP="00FF3C8C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F42E28">
        <w:rPr>
          <w:rFonts w:ascii="Century Gothic" w:hAnsi="Century Gothic"/>
          <w:sz w:val="22"/>
          <w:szCs w:val="22"/>
        </w:rPr>
        <w:t>to</w:t>
      </w:r>
      <w:proofErr w:type="gramEnd"/>
      <w:r w:rsidRPr="00F42E28">
        <w:rPr>
          <w:rFonts w:ascii="Century Gothic" w:hAnsi="Century Gothic"/>
          <w:sz w:val="22"/>
          <w:szCs w:val="22"/>
        </w:rPr>
        <w:t xml:space="preserve"> provide clarification that the</w:t>
      </w:r>
      <w:r w:rsidR="00394415" w:rsidRPr="00F42E28">
        <w:rPr>
          <w:rFonts w:ascii="Century Gothic" w:hAnsi="Century Gothic"/>
          <w:sz w:val="22"/>
          <w:szCs w:val="22"/>
        </w:rPr>
        <w:t xml:space="preserve"> </w:t>
      </w:r>
      <w:r w:rsidRPr="00F42E28">
        <w:rPr>
          <w:rFonts w:ascii="Century Gothic" w:hAnsi="Century Gothic"/>
          <w:sz w:val="22"/>
          <w:szCs w:val="22"/>
        </w:rPr>
        <w:t xml:space="preserve">Code applies to mobile services </w:t>
      </w:r>
      <w:r w:rsidR="00C4263B" w:rsidRPr="00F42E28">
        <w:rPr>
          <w:rFonts w:ascii="Century Gothic" w:hAnsi="Century Gothic"/>
          <w:sz w:val="22"/>
          <w:szCs w:val="22"/>
        </w:rPr>
        <w:t>since</w:t>
      </w:r>
      <w:r w:rsidRPr="00F42E28">
        <w:rPr>
          <w:rFonts w:ascii="Century Gothic" w:hAnsi="Century Gothic"/>
          <w:sz w:val="22"/>
          <w:szCs w:val="22"/>
        </w:rPr>
        <w:t xml:space="preserve"> these services are a part of the STS.</w:t>
      </w:r>
    </w:p>
    <w:p w:rsidR="00394415" w:rsidRPr="00F42E28" w:rsidRDefault="00FF3C8C" w:rsidP="00FF3C8C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F42E28">
        <w:rPr>
          <w:rFonts w:ascii="Century Gothic" w:hAnsi="Century Gothic"/>
          <w:sz w:val="22"/>
          <w:szCs w:val="22"/>
        </w:rPr>
        <w:t>to</w:t>
      </w:r>
      <w:proofErr w:type="gramEnd"/>
      <w:r w:rsidRPr="00F42E28">
        <w:rPr>
          <w:rFonts w:ascii="Century Gothic" w:hAnsi="Century Gothic"/>
          <w:sz w:val="22"/>
          <w:szCs w:val="22"/>
        </w:rPr>
        <w:t xml:space="preserve"> review the technical capabilities of VoIP in being able to block CND and </w:t>
      </w:r>
      <w:r w:rsidR="00C4263B" w:rsidRPr="00F42E28">
        <w:rPr>
          <w:rFonts w:ascii="Century Gothic" w:hAnsi="Century Gothic"/>
          <w:sz w:val="22"/>
          <w:szCs w:val="22"/>
        </w:rPr>
        <w:t>update</w:t>
      </w:r>
      <w:r w:rsidRPr="00F42E28">
        <w:rPr>
          <w:rFonts w:ascii="Century Gothic" w:hAnsi="Century Gothic"/>
          <w:sz w:val="22"/>
          <w:szCs w:val="22"/>
        </w:rPr>
        <w:t xml:space="preserve"> the Code obligations </w:t>
      </w:r>
      <w:r w:rsidR="00C4263B" w:rsidRPr="00F42E28">
        <w:rPr>
          <w:rFonts w:ascii="Century Gothic" w:hAnsi="Century Gothic"/>
          <w:sz w:val="22"/>
          <w:szCs w:val="22"/>
        </w:rPr>
        <w:t>to include VoIP services if technically feasible</w:t>
      </w:r>
      <w:r w:rsidRPr="00F42E28">
        <w:rPr>
          <w:rFonts w:ascii="Century Gothic" w:hAnsi="Century Gothic"/>
          <w:sz w:val="22"/>
          <w:szCs w:val="22"/>
        </w:rPr>
        <w:t>.</w:t>
      </w:r>
    </w:p>
    <w:p w:rsidR="006107E5" w:rsidRPr="00F42E28" w:rsidRDefault="006107E5" w:rsidP="006107E5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F42E28">
        <w:rPr>
          <w:rFonts w:ascii="Century Gothic" w:hAnsi="Century Gothic"/>
          <w:sz w:val="22"/>
          <w:szCs w:val="22"/>
        </w:rPr>
        <w:t>to</w:t>
      </w:r>
      <w:proofErr w:type="gramEnd"/>
      <w:r w:rsidRPr="00F42E28">
        <w:rPr>
          <w:rFonts w:ascii="Century Gothic" w:hAnsi="Century Gothic"/>
          <w:sz w:val="22"/>
          <w:szCs w:val="22"/>
        </w:rPr>
        <w:t xml:space="preserve"> </w:t>
      </w:r>
      <w:r w:rsidR="00744029" w:rsidRPr="00F42E28">
        <w:rPr>
          <w:rFonts w:ascii="Century Gothic" w:hAnsi="Century Gothic"/>
          <w:sz w:val="22"/>
          <w:szCs w:val="22"/>
        </w:rPr>
        <w:t>consider</w:t>
      </w:r>
      <w:r w:rsidRPr="00F42E28">
        <w:rPr>
          <w:rFonts w:ascii="Century Gothic" w:hAnsi="Century Gothic"/>
          <w:sz w:val="22"/>
          <w:szCs w:val="22"/>
        </w:rPr>
        <w:t xml:space="preserve"> </w:t>
      </w:r>
      <w:r w:rsidR="00744029" w:rsidRPr="00F42E28">
        <w:rPr>
          <w:rFonts w:ascii="Century Gothic" w:hAnsi="Century Gothic"/>
          <w:sz w:val="22"/>
          <w:szCs w:val="22"/>
        </w:rPr>
        <w:t xml:space="preserve">whether </w:t>
      </w:r>
      <w:r w:rsidRPr="00F42E28">
        <w:rPr>
          <w:rFonts w:ascii="Century Gothic" w:hAnsi="Century Gothic"/>
          <w:sz w:val="22"/>
          <w:szCs w:val="22"/>
        </w:rPr>
        <w:t>th</w:t>
      </w:r>
      <w:r w:rsidR="00744029" w:rsidRPr="00F42E28">
        <w:rPr>
          <w:rFonts w:ascii="Century Gothic" w:hAnsi="Century Gothic"/>
          <w:sz w:val="22"/>
          <w:szCs w:val="22"/>
        </w:rPr>
        <w:t xml:space="preserve">e Code requires to be updated </w:t>
      </w:r>
      <w:r w:rsidR="004816E9" w:rsidRPr="00F42E28">
        <w:rPr>
          <w:rFonts w:ascii="Century Gothic" w:hAnsi="Century Gothic"/>
          <w:sz w:val="22"/>
          <w:szCs w:val="22"/>
        </w:rPr>
        <w:t>as a result of</w:t>
      </w:r>
      <w:r w:rsidR="00744029" w:rsidRPr="00F42E28">
        <w:rPr>
          <w:rFonts w:ascii="Century Gothic" w:hAnsi="Century Gothic"/>
          <w:sz w:val="22"/>
          <w:szCs w:val="22"/>
        </w:rPr>
        <w:t xml:space="preserve"> the introduction of the Australian Privacy Principles.</w:t>
      </w:r>
    </w:p>
    <w:p w:rsidR="006107E5" w:rsidRPr="00F42E28" w:rsidRDefault="006107E5" w:rsidP="00794847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F42E28">
        <w:rPr>
          <w:rFonts w:ascii="Century Gothic" w:hAnsi="Century Gothic"/>
          <w:sz w:val="22"/>
          <w:szCs w:val="22"/>
        </w:rPr>
        <w:t>to</w:t>
      </w:r>
      <w:proofErr w:type="gramEnd"/>
      <w:r w:rsidRPr="00F42E28">
        <w:rPr>
          <w:rFonts w:ascii="Century Gothic" w:hAnsi="Century Gothic"/>
          <w:sz w:val="22"/>
          <w:szCs w:val="22"/>
        </w:rPr>
        <w:t xml:space="preserve"> </w:t>
      </w:r>
      <w:r w:rsidR="00C4263B" w:rsidRPr="00F42E28">
        <w:rPr>
          <w:rFonts w:ascii="Century Gothic" w:hAnsi="Century Gothic"/>
          <w:sz w:val="22"/>
          <w:szCs w:val="22"/>
        </w:rPr>
        <w:t>rectify</w:t>
      </w:r>
      <w:r w:rsidR="00F020D5" w:rsidRPr="00F42E28">
        <w:rPr>
          <w:rFonts w:ascii="Century Gothic" w:hAnsi="Century Gothic"/>
          <w:sz w:val="22"/>
          <w:szCs w:val="22"/>
        </w:rPr>
        <w:t xml:space="preserve"> </w:t>
      </w:r>
      <w:r w:rsidR="00C4263B" w:rsidRPr="00F42E28">
        <w:rPr>
          <w:rFonts w:ascii="Century Gothic" w:hAnsi="Century Gothic"/>
          <w:sz w:val="22"/>
          <w:szCs w:val="22"/>
        </w:rPr>
        <w:t xml:space="preserve">an error introduced in the previous revision of the Code concerning how </w:t>
      </w:r>
      <w:r w:rsidR="00F020D5" w:rsidRPr="00F42E28">
        <w:rPr>
          <w:rFonts w:ascii="Century Gothic" w:hAnsi="Century Gothic"/>
          <w:sz w:val="22"/>
          <w:szCs w:val="22"/>
        </w:rPr>
        <w:t xml:space="preserve">the obligations for permanent line blocking </w:t>
      </w:r>
      <w:r w:rsidR="00C4263B" w:rsidRPr="00F42E28">
        <w:rPr>
          <w:rFonts w:ascii="Century Gothic" w:hAnsi="Century Gothic"/>
          <w:sz w:val="22"/>
          <w:szCs w:val="22"/>
        </w:rPr>
        <w:t>are</w:t>
      </w:r>
      <w:r w:rsidR="00F020D5" w:rsidRPr="00F42E28">
        <w:rPr>
          <w:rFonts w:ascii="Century Gothic" w:hAnsi="Century Gothic"/>
          <w:sz w:val="22"/>
          <w:szCs w:val="22"/>
        </w:rPr>
        <w:t xml:space="preserve"> applied to fixed line services and </w:t>
      </w:r>
      <w:r w:rsidR="00744029" w:rsidRPr="00F42E28">
        <w:rPr>
          <w:rFonts w:ascii="Century Gothic" w:hAnsi="Century Gothic"/>
          <w:sz w:val="22"/>
          <w:szCs w:val="22"/>
        </w:rPr>
        <w:t>mobile services</w:t>
      </w:r>
      <w:r w:rsidR="00E86F86" w:rsidRPr="00F42E28">
        <w:rPr>
          <w:rFonts w:ascii="Century Gothic" w:hAnsi="Century Gothic"/>
          <w:sz w:val="22"/>
          <w:szCs w:val="22"/>
        </w:rPr>
        <w:t>.</w:t>
      </w:r>
    </w:p>
    <w:p w:rsidR="003159B8" w:rsidRPr="00F42E28" w:rsidRDefault="00F020D5" w:rsidP="000338E4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F42E28">
        <w:rPr>
          <w:rFonts w:ascii="Century Gothic" w:hAnsi="Century Gothic"/>
          <w:sz w:val="22"/>
          <w:szCs w:val="22"/>
        </w:rPr>
        <w:t>to</w:t>
      </w:r>
      <w:proofErr w:type="gramEnd"/>
      <w:r w:rsidRPr="00F42E28">
        <w:rPr>
          <w:rFonts w:ascii="Century Gothic" w:hAnsi="Century Gothic"/>
          <w:sz w:val="22"/>
          <w:szCs w:val="22"/>
        </w:rPr>
        <w:t xml:space="preserve"> </w:t>
      </w:r>
      <w:r w:rsidR="00744029" w:rsidRPr="00F42E28">
        <w:rPr>
          <w:rFonts w:ascii="Century Gothic" w:hAnsi="Century Gothic"/>
          <w:sz w:val="22"/>
          <w:szCs w:val="22"/>
        </w:rPr>
        <w:t>limit the scope of the Code</w:t>
      </w:r>
      <w:r w:rsidR="00794847" w:rsidRPr="00F42E28">
        <w:rPr>
          <w:rFonts w:ascii="Century Gothic" w:hAnsi="Century Gothic"/>
          <w:sz w:val="22"/>
          <w:szCs w:val="22"/>
        </w:rPr>
        <w:t xml:space="preserve"> </w:t>
      </w:r>
      <w:r w:rsidR="00744029" w:rsidRPr="00F42E28">
        <w:rPr>
          <w:rFonts w:ascii="Century Gothic" w:hAnsi="Century Gothic"/>
          <w:sz w:val="22"/>
          <w:szCs w:val="22"/>
        </w:rPr>
        <w:t xml:space="preserve">to </w:t>
      </w:r>
      <w:r w:rsidR="00794847" w:rsidRPr="00F42E28">
        <w:rPr>
          <w:rFonts w:ascii="Century Gothic" w:hAnsi="Century Gothic"/>
          <w:sz w:val="22"/>
          <w:szCs w:val="22"/>
        </w:rPr>
        <w:t>residential and small business customers</w:t>
      </w:r>
      <w:r w:rsidR="00EF5F5B" w:rsidRPr="00F42E28">
        <w:rPr>
          <w:rFonts w:ascii="Century Gothic" w:hAnsi="Century Gothic"/>
          <w:sz w:val="22"/>
          <w:szCs w:val="22"/>
        </w:rPr>
        <w:t>,</w:t>
      </w:r>
      <w:r w:rsidR="00744029" w:rsidRPr="00F42E28">
        <w:rPr>
          <w:rFonts w:ascii="Century Gothic" w:hAnsi="Century Gothic"/>
          <w:sz w:val="22"/>
          <w:szCs w:val="22"/>
        </w:rPr>
        <w:t xml:space="preserve"> </w:t>
      </w:r>
      <w:r w:rsidR="000338E4" w:rsidRPr="00F42E28">
        <w:rPr>
          <w:rFonts w:ascii="Century Gothic" w:hAnsi="Century Gothic"/>
          <w:sz w:val="22"/>
          <w:szCs w:val="22"/>
        </w:rPr>
        <w:t>as defined by the TIO</w:t>
      </w:r>
      <w:r w:rsidR="00EF5F5B" w:rsidRPr="00F42E28">
        <w:rPr>
          <w:rFonts w:ascii="Century Gothic" w:hAnsi="Century Gothic"/>
          <w:sz w:val="22"/>
          <w:szCs w:val="22"/>
        </w:rPr>
        <w:t>,</w:t>
      </w:r>
      <w:r w:rsidR="000338E4" w:rsidRPr="00F42E28">
        <w:rPr>
          <w:rFonts w:ascii="Century Gothic" w:hAnsi="Century Gothic"/>
          <w:sz w:val="22"/>
          <w:szCs w:val="22"/>
        </w:rPr>
        <w:t xml:space="preserve"> to align</w:t>
      </w:r>
      <w:r w:rsidR="003159B8" w:rsidRPr="00F42E28">
        <w:rPr>
          <w:rFonts w:ascii="Century Gothic" w:hAnsi="Century Gothic"/>
          <w:sz w:val="22"/>
          <w:szCs w:val="22"/>
        </w:rPr>
        <w:t xml:space="preserve"> with the </w:t>
      </w:r>
      <w:r w:rsidR="000338E4" w:rsidRPr="00F42E28">
        <w:rPr>
          <w:rFonts w:ascii="Century Gothic" w:hAnsi="Century Gothic"/>
          <w:sz w:val="22"/>
          <w:szCs w:val="22"/>
        </w:rPr>
        <w:t>Telecommunications Consumer Protection</w:t>
      </w:r>
      <w:r w:rsidR="003159B8" w:rsidRPr="00F42E28">
        <w:rPr>
          <w:rFonts w:ascii="Century Gothic" w:hAnsi="Century Gothic"/>
          <w:sz w:val="22"/>
          <w:szCs w:val="22"/>
        </w:rPr>
        <w:t xml:space="preserve"> </w:t>
      </w:r>
      <w:r w:rsidR="000338E4" w:rsidRPr="00F42E28">
        <w:rPr>
          <w:rFonts w:ascii="Century Gothic" w:hAnsi="Century Gothic"/>
          <w:sz w:val="22"/>
          <w:szCs w:val="22"/>
        </w:rPr>
        <w:t xml:space="preserve">(TCP) </w:t>
      </w:r>
      <w:r w:rsidR="003159B8" w:rsidRPr="00F42E28">
        <w:rPr>
          <w:rFonts w:ascii="Century Gothic" w:hAnsi="Century Gothic"/>
          <w:sz w:val="22"/>
          <w:szCs w:val="22"/>
        </w:rPr>
        <w:t>Code.</w:t>
      </w:r>
    </w:p>
    <w:p w:rsidR="00C4263B" w:rsidRPr="00F42E28" w:rsidRDefault="00C4263B" w:rsidP="00C4263B">
      <w:pPr>
        <w:numPr>
          <w:ilvl w:val="0"/>
          <w:numId w:val="2"/>
        </w:numPr>
        <w:spacing w:before="120"/>
        <w:rPr>
          <w:rFonts w:ascii="Century Gothic" w:hAnsi="Century Gothic"/>
          <w:i/>
          <w:sz w:val="22"/>
          <w:szCs w:val="22"/>
        </w:rPr>
      </w:pPr>
      <w:proofErr w:type="gramStart"/>
      <w:r w:rsidRPr="00F42E28">
        <w:rPr>
          <w:rFonts w:ascii="Century Gothic" w:hAnsi="Century Gothic"/>
          <w:sz w:val="22"/>
          <w:szCs w:val="22"/>
        </w:rPr>
        <w:t>to</w:t>
      </w:r>
      <w:proofErr w:type="gramEnd"/>
      <w:r w:rsidRPr="00F42E28">
        <w:rPr>
          <w:rFonts w:ascii="Century Gothic" w:hAnsi="Century Gothic"/>
          <w:sz w:val="22"/>
          <w:szCs w:val="22"/>
        </w:rPr>
        <w:t xml:space="preserve"> reflect the calling line identification (CLI) obligations of s354 of the </w:t>
      </w:r>
      <w:r w:rsidRPr="00F42E28">
        <w:rPr>
          <w:rFonts w:ascii="Century Gothic" w:hAnsi="Century Gothic"/>
          <w:i/>
          <w:sz w:val="22"/>
          <w:szCs w:val="22"/>
        </w:rPr>
        <w:t>Telecommunications Act 1997</w:t>
      </w:r>
      <w:r w:rsidRPr="00F42E28">
        <w:rPr>
          <w:rFonts w:ascii="Century Gothic" w:hAnsi="Century Gothic"/>
          <w:sz w:val="22"/>
          <w:szCs w:val="22"/>
        </w:rPr>
        <w:t xml:space="preserve"> into the Code.</w:t>
      </w:r>
    </w:p>
    <w:p w:rsidR="000338E4" w:rsidRPr="00F42E28" w:rsidRDefault="000338E4" w:rsidP="000338E4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F42E28">
        <w:rPr>
          <w:rFonts w:ascii="Century Gothic" w:hAnsi="Century Gothic"/>
          <w:sz w:val="22"/>
          <w:szCs w:val="22"/>
        </w:rPr>
        <w:t>to</w:t>
      </w:r>
      <w:proofErr w:type="gramEnd"/>
      <w:r w:rsidRPr="00F42E28">
        <w:rPr>
          <w:rFonts w:ascii="Century Gothic" w:hAnsi="Century Gothic"/>
          <w:sz w:val="22"/>
          <w:szCs w:val="22"/>
        </w:rPr>
        <w:t xml:space="preserve"> consider transferring the consumer information obligations to the TCP Code</w:t>
      </w:r>
      <w:r w:rsidR="00E86F86" w:rsidRPr="00F42E28">
        <w:rPr>
          <w:rFonts w:ascii="Century Gothic" w:hAnsi="Century Gothic"/>
          <w:sz w:val="22"/>
          <w:szCs w:val="22"/>
        </w:rPr>
        <w:t>.</w:t>
      </w:r>
    </w:p>
    <w:p w:rsidR="00794847" w:rsidRPr="00F42E28" w:rsidRDefault="00F020D5" w:rsidP="00794847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F42E28">
        <w:rPr>
          <w:rFonts w:ascii="Century Gothic" w:hAnsi="Century Gothic"/>
          <w:sz w:val="22"/>
          <w:szCs w:val="22"/>
        </w:rPr>
        <w:lastRenderedPageBreak/>
        <w:t>to</w:t>
      </w:r>
      <w:proofErr w:type="gramEnd"/>
      <w:r w:rsidRPr="00F42E28">
        <w:rPr>
          <w:rFonts w:ascii="Century Gothic" w:hAnsi="Century Gothic"/>
          <w:sz w:val="22"/>
          <w:szCs w:val="22"/>
        </w:rPr>
        <w:t xml:space="preserve"> review</w:t>
      </w:r>
      <w:r w:rsidR="00794847" w:rsidRPr="00F42E28">
        <w:rPr>
          <w:rFonts w:ascii="Century Gothic" w:hAnsi="Century Gothic"/>
          <w:sz w:val="22"/>
          <w:szCs w:val="22"/>
        </w:rPr>
        <w:t xml:space="preserve"> the need for the Code to be registered</w:t>
      </w:r>
      <w:r w:rsidRPr="00F42E28">
        <w:rPr>
          <w:rFonts w:ascii="Century Gothic" w:hAnsi="Century Gothic"/>
          <w:sz w:val="22"/>
          <w:szCs w:val="22"/>
        </w:rPr>
        <w:t xml:space="preserve"> given the progress of privacy protectio</w:t>
      </w:r>
      <w:r w:rsidR="000338E4" w:rsidRPr="00F42E28">
        <w:rPr>
          <w:rFonts w:ascii="Century Gothic" w:hAnsi="Century Gothic"/>
          <w:sz w:val="22"/>
          <w:szCs w:val="22"/>
        </w:rPr>
        <w:t>ns since the Code was published.</w:t>
      </w:r>
    </w:p>
    <w:p w:rsidR="00F42E28" w:rsidRPr="001A6BB9" w:rsidRDefault="00F42E28" w:rsidP="001A6BB9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1A6BB9">
        <w:rPr>
          <w:rFonts w:ascii="Century Gothic" w:hAnsi="Century Gothic"/>
          <w:sz w:val="22"/>
          <w:szCs w:val="22"/>
        </w:rPr>
        <w:t>correct</w:t>
      </w:r>
      <w:proofErr w:type="gramEnd"/>
      <w:r w:rsidRPr="001A6BB9">
        <w:rPr>
          <w:rFonts w:ascii="Century Gothic" w:hAnsi="Century Gothic"/>
          <w:sz w:val="22"/>
          <w:szCs w:val="22"/>
        </w:rPr>
        <w:t xml:space="preserve"> any id</w:t>
      </w:r>
      <w:r w:rsidR="001A6BB9">
        <w:rPr>
          <w:rFonts w:ascii="Century Gothic" w:hAnsi="Century Gothic"/>
          <w:sz w:val="22"/>
          <w:szCs w:val="22"/>
        </w:rPr>
        <w:t>entified typographical error(s).</w:t>
      </w:r>
    </w:p>
    <w:p w:rsidR="00F42E28" w:rsidRPr="001A6BB9" w:rsidRDefault="00F42E28" w:rsidP="001A6BB9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1A6BB9">
        <w:rPr>
          <w:rFonts w:ascii="Century Gothic" w:hAnsi="Century Gothic"/>
          <w:sz w:val="22"/>
          <w:szCs w:val="22"/>
        </w:rPr>
        <w:t>update</w:t>
      </w:r>
      <w:proofErr w:type="gramEnd"/>
      <w:r w:rsidRPr="001A6BB9">
        <w:rPr>
          <w:rFonts w:ascii="Century Gothic" w:hAnsi="Century Gothic"/>
          <w:sz w:val="22"/>
          <w:szCs w:val="22"/>
        </w:rPr>
        <w:t xml:space="preserve"> references from ‘ACIF’ to ‘Communications </w:t>
      </w:r>
      <w:r w:rsidR="001A6BB9">
        <w:rPr>
          <w:rFonts w:ascii="Century Gothic" w:hAnsi="Century Gothic"/>
          <w:sz w:val="22"/>
          <w:szCs w:val="22"/>
        </w:rPr>
        <w:t>Alliance’ where appropriate.</w:t>
      </w:r>
    </w:p>
    <w:p w:rsidR="00F679A6" w:rsidRPr="00F42E28" w:rsidRDefault="00EF5F5B" w:rsidP="00EF1185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F42E28">
        <w:rPr>
          <w:rFonts w:ascii="Century Gothic" w:hAnsi="Century Gothic"/>
          <w:sz w:val="22"/>
          <w:szCs w:val="22"/>
        </w:rPr>
        <w:t>to</w:t>
      </w:r>
      <w:proofErr w:type="gramEnd"/>
      <w:r w:rsidRPr="00F42E28">
        <w:rPr>
          <w:rFonts w:ascii="Century Gothic" w:hAnsi="Century Gothic"/>
          <w:sz w:val="22"/>
          <w:szCs w:val="22"/>
        </w:rPr>
        <w:t xml:space="preserve"> </w:t>
      </w:r>
      <w:r w:rsidR="00F679A6" w:rsidRPr="00F42E28">
        <w:rPr>
          <w:rFonts w:ascii="Century Gothic" w:hAnsi="Century Gothic"/>
          <w:sz w:val="22"/>
          <w:szCs w:val="22"/>
        </w:rPr>
        <w:t>update</w:t>
      </w:r>
      <w:r w:rsidRPr="00F42E28">
        <w:rPr>
          <w:rFonts w:ascii="Century Gothic" w:hAnsi="Century Gothic"/>
          <w:sz w:val="22"/>
          <w:szCs w:val="22"/>
        </w:rPr>
        <w:t xml:space="preserve"> the Code</w:t>
      </w:r>
      <w:r w:rsidR="00F679A6" w:rsidRPr="00F42E28">
        <w:rPr>
          <w:rFonts w:ascii="Century Gothic" w:hAnsi="Century Gothic"/>
          <w:sz w:val="22"/>
          <w:szCs w:val="22"/>
        </w:rPr>
        <w:t xml:space="preserve"> to the current Communications Alliance Code template</w:t>
      </w:r>
      <w:r w:rsidR="00E86F86" w:rsidRPr="00F42E28">
        <w:rPr>
          <w:rFonts w:ascii="Century Gothic" w:hAnsi="Century Gothic"/>
          <w:sz w:val="22"/>
          <w:szCs w:val="22"/>
        </w:rPr>
        <w:t>.</w:t>
      </w:r>
    </w:p>
    <w:p w:rsidR="003446E7" w:rsidRPr="00F42E28" w:rsidRDefault="003446E7" w:rsidP="003446E7">
      <w:pPr>
        <w:pStyle w:val="ACIFNormal"/>
        <w:keepNext/>
        <w:spacing w:before="120" w:after="0"/>
        <w:rPr>
          <w:b/>
          <w:i/>
          <w:sz w:val="22"/>
          <w:szCs w:val="22"/>
          <w:lang w:val="en-AU"/>
        </w:rPr>
      </w:pPr>
      <w:r w:rsidRPr="00F42E28">
        <w:rPr>
          <w:b/>
          <w:i/>
          <w:sz w:val="22"/>
          <w:szCs w:val="22"/>
          <w:lang w:val="en-AU"/>
        </w:rPr>
        <w:t>Primary deliverables</w:t>
      </w:r>
    </w:p>
    <w:p w:rsidR="003446E7" w:rsidRPr="00F42E28" w:rsidRDefault="003446E7" w:rsidP="003446E7">
      <w:pPr>
        <w:numPr>
          <w:ilvl w:val="0"/>
          <w:numId w:val="2"/>
        </w:numPr>
        <w:spacing w:before="120"/>
        <w:rPr>
          <w:rFonts w:ascii="Century Gothic" w:hAnsi="Century Gothic"/>
          <w:sz w:val="22"/>
          <w:szCs w:val="22"/>
        </w:rPr>
      </w:pPr>
      <w:proofErr w:type="gramStart"/>
      <w:r w:rsidRPr="00F42E28">
        <w:rPr>
          <w:rFonts w:ascii="Century Gothic" w:hAnsi="Century Gothic"/>
          <w:sz w:val="22"/>
          <w:szCs w:val="22"/>
        </w:rPr>
        <w:t>a</w:t>
      </w:r>
      <w:proofErr w:type="gramEnd"/>
      <w:r w:rsidRPr="00F42E28">
        <w:rPr>
          <w:rFonts w:ascii="Century Gothic" w:hAnsi="Century Gothic"/>
          <w:sz w:val="22"/>
          <w:szCs w:val="22"/>
        </w:rPr>
        <w:t xml:space="preserve"> revised version of </w:t>
      </w:r>
      <w:r w:rsidR="00EC63C7" w:rsidRPr="00F42E28">
        <w:rPr>
          <w:rFonts w:ascii="Century Gothic" w:hAnsi="Century Gothic"/>
          <w:b/>
          <w:i/>
          <w:sz w:val="22"/>
          <w:szCs w:val="22"/>
        </w:rPr>
        <w:t>Calling Number Display</w:t>
      </w:r>
      <w:r w:rsidR="00EC63C7" w:rsidRPr="00F42E28">
        <w:rPr>
          <w:rFonts w:ascii="Century Gothic" w:hAnsi="Century Gothic"/>
          <w:sz w:val="22"/>
          <w:szCs w:val="22"/>
        </w:rPr>
        <w:t xml:space="preserve"> Code</w:t>
      </w:r>
      <w:r w:rsidRPr="00F42E28">
        <w:rPr>
          <w:rFonts w:ascii="Century Gothic" w:hAnsi="Century Gothic"/>
          <w:sz w:val="22"/>
          <w:szCs w:val="22"/>
        </w:rPr>
        <w:t>.</w:t>
      </w:r>
      <w:bookmarkEnd w:id="1"/>
    </w:p>
    <w:sectPr w:rsidR="003446E7" w:rsidRPr="00F42E2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B9" w:rsidRDefault="001A6BB9" w:rsidP="008A711C">
      <w:r>
        <w:separator/>
      </w:r>
    </w:p>
  </w:endnote>
  <w:endnote w:type="continuationSeparator" w:id="0">
    <w:p w:rsidR="001A6BB9" w:rsidRDefault="001A6BB9" w:rsidP="008A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B9" w:rsidRPr="008A711C" w:rsidRDefault="001A6BB9" w:rsidP="00C4263B">
    <w:pPr>
      <w:pStyle w:val="Footer"/>
      <w:tabs>
        <w:tab w:val="clear" w:pos="4513"/>
        <w:tab w:val="center" w:pos="5245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Draft WC57 Terms of Reference    15 Aug 2013</w:t>
    </w:r>
    <w:r>
      <w:rPr>
        <w:rFonts w:ascii="Century Gothic" w:hAnsi="Century Gothic"/>
        <w:sz w:val="20"/>
        <w:szCs w:val="20"/>
      </w:rPr>
      <w:tab/>
    </w:r>
    <w:r w:rsidRPr="006157D1">
      <w:rPr>
        <w:rFonts w:ascii="Century Gothic" w:hAnsi="Century Gothic"/>
        <w:sz w:val="20"/>
        <w:szCs w:val="20"/>
      </w:rPr>
      <w:fldChar w:fldCharType="begin"/>
    </w:r>
    <w:r w:rsidRPr="006157D1">
      <w:rPr>
        <w:rFonts w:ascii="Century Gothic" w:hAnsi="Century Gothic"/>
        <w:sz w:val="20"/>
        <w:szCs w:val="20"/>
      </w:rPr>
      <w:instrText xml:space="preserve"> PAGE   \* MERGEFORMAT </w:instrText>
    </w:r>
    <w:r w:rsidRPr="006157D1">
      <w:rPr>
        <w:rFonts w:ascii="Century Gothic" w:hAnsi="Century Gothic"/>
        <w:sz w:val="20"/>
        <w:szCs w:val="20"/>
      </w:rPr>
      <w:fldChar w:fldCharType="separate"/>
    </w:r>
    <w:r w:rsidR="00140675">
      <w:rPr>
        <w:rFonts w:ascii="Century Gothic" w:hAnsi="Century Gothic"/>
        <w:noProof/>
        <w:sz w:val="20"/>
        <w:szCs w:val="20"/>
      </w:rPr>
      <w:t>1</w:t>
    </w:r>
    <w:r w:rsidRPr="006157D1">
      <w:rPr>
        <w:rFonts w:ascii="Century Gothic" w:hAnsi="Century Gothic"/>
        <w:noProof/>
        <w:sz w:val="20"/>
        <w:szCs w:val="20"/>
      </w:rPr>
      <w:fldChar w:fldCharType="end"/>
    </w:r>
  </w:p>
  <w:p w:rsidR="001A6BB9" w:rsidRDefault="001A6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B9" w:rsidRDefault="001A6BB9" w:rsidP="008A711C">
      <w:r>
        <w:separator/>
      </w:r>
    </w:p>
  </w:footnote>
  <w:footnote w:type="continuationSeparator" w:id="0">
    <w:p w:rsidR="001A6BB9" w:rsidRDefault="001A6BB9" w:rsidP="008A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B9" w:rsidRPr="00F679A6" w:rsidRDefault="001A6BB9">
    <w:pPr>
      <w:pStyle w:val="Header"/>
      <w:rPr>
        <w:rFonts w:ascii="Century Gothic" w:hAnsi="Century Gothic"/>
        <w:b/>
        <w:sz w:val="40"/>
        <w:szCs w:val="40"/>
      </w:rPr>
    </w:pPr>
    <w:r w:rsidRPr="00F679A6">
      <w:rPr>
        <w:rFonts w:ascii="Century Gothic" w:hAnsi="Century Gothic"/>
        <w:b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4A1"/>
    <w:multiLevelType w:val="multilevel"/>
    <w:tmpl w:val="51AA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E35F1"/>
    <w:multiLevelType w:val="hybridMultilevel"/>
    <w:tmpl w:val="0768831E"/>
    <w:lvl w:ilvl="0" w:tplc="A17EF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33EE9"/>
    <w:multiLevelType w:val="multilevel"/>
    <w:tmpl w:val="51AA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97889"/>
    <w:multiLevelType w:val="multilevel"/>
    <w:tmpl w:val="D7E4F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C209E2"/>
    <w:multiLevelType w:val="multilevel"/>
    <w:tmpl w:val="A9B879D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F0073DF"/>
    <w:multiLevelType w:val="hybridMultilevel"/>
    <w:tmpl w:val="E228D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20FFC"/>
    <w:multiLevelType w:val="hybridMultilevel"/>
    <w:tmpl w:val="D5DC1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35952"/>
    <w:multiLevelType w:val="multilevel"/>
    <w:tmpl w:val="AD38B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12B42"/>
    <w:multiLevelType w:val="hybridMultilevel"/>
    <w:tmpl w:val="67A48E4C"/>
    <w:lvl w:ilvl="0" w:tplc="A17E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C424E"/>
    <w:multiLevelType w:val="hybridMultilevel"/>
    <w:tmpl w:val="255EEE30"/>
    <w:lvl w:ilvl="0" w:tplc="C79C2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83F8B"/>
    <w:multiLevelType w:val="hybridMultilevel"/>
    <w:tmpl w:val="F2F8A8BE"/>
    <w:lvl w:ilvl="0" w:tplc="A17E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52"/>
    <w:rsid w:val="0000363C"/>
    <w:rsid w:val="00012EA2"/>
    <w:rsid w:val="00015F01"/>
    <w:rsid w:val="000338E4"/>
    <w:rsid w:val="00043EE8"/>
    <w:rsid w:val="0005541D"/>
    <w:rsid w:val="000A1DC1"/>
    <w:rsid w:val="000B2006"/>
    <w:rsid w:val="0011076A"/>
    <w:rsid w:val="00140675"/>
    <w:rsid w:val="0015031C"/>
    <w:rsid w:val="001519EF"/>
    <w:rsid w:val="0016294D"/>
    <w:rsid w:val="001A6BB9"/>
    <w:rsid w:val="001C7AE4"/>
    <w:rsid w:val="002067F8"/>
    <w:rsid w:val="002327AF"/>
    <w:rsid w:val="002C6244"/>
    <w:rsid w:val="002E1099"/>
    <w:rsid w:val="003159B8"/>
    <w:rsid w:val="003446E7"/>
    <w:rsid w:val="00362C53"/>
    <w:rsid w:val="00394415"/>
    <w:rsid w:val="003C1483"/>
    <w:rsid w:val="003D6556"/>
    <w:rsid w:val="003F0EB3"/>
    <w:rsid w:val="00434A62"/>
    <w:rsid w:val="00470A0C"/>
    <w:rsid w:val="004816E9"/>
    <w:rsid w:val="004A0D0C"/>
    <w:rsid w:val="00502E86"/>
    <w:rsid w:val="00513215"/>
    <w:rsid w:val="0052085A"/>
    <w:rsid w:val="005469E1"/>
    <w:rsid w:val="0055509C"/>
    <w:rsid w:val="00562F0E"/>
    <w:rsid w:val="005740D9"/>
    <w:rsid w:val="00574DF1"/>
    <w:rsid w:val="005C5F3C"/>
    <w:rsid w:val="006107E5"/>
    <w:rsid w:val="006157D1"/>
    <w:rsid w:val="00640052"/>
    <w:rsid w:val="006531EA"/>
    <w:rsid w:val="00674DE8"/>
    <w:rsid w:val="006967B7"/>
    <w:rsid w:val="00727DA3"/>
    <w:rsid w:val="00744029"/>
    <w:rsid w:val="00752857"/>
    <w:rsid w:val="00794847"/>
    <w:rsid w:val="0081596C"/>
    <w:rsid w:val="008633A8"/>
    <w:rsid w:val="008A711C"/>
    <w:rsid w:val="008E51D1"/>
    <w:rsid w:val="00926998"/>
    <w:rsid w:val="00936E82"/>
    <w:rsid w:val="009726E4"/>
    <w:rsid w:val="009918E3"/>
    <w:rsid w:val="009A1BD6"/>
    <w:rsid w:val="009A5278"/>
    <w:rsid w:val="009B63F4"/>
    <w:rsid w:val="009F07F1"/>
    <w:rsid w:val="009F214F"/>
    <w:rsid w:val="00A312F1"/>
    <w:rsid w:val="00A51BC3"/>
    <w:rsid w:val="00A56B13"/>
    <w:rsid w:val="00A650C3"/>
    <w:rsid w:val="00B13917"/>
    <w:rsid w:val="00B87DC8"/>
    <w:rsid w:val="00BD1CE5"/>
    <w:rsid w:val="00BD40DD"/>
    <w:rsid w:val="00C4263B"/>
    <w:rsid w:val="00C57BCD"/>
    <w:rsid w:val="00C90DEC"/>
    <w:rsid w:val="00CA4C93"/>
    <w:rsid w:val="00CB6453"/>
    <w:rsid w:val="00CD5042"/>
    <w:rsid w:val="00CD6148"/>
    <w:rsid w:val="00D07A28"/>
    <w:rsid w:val="00DD05D1"/>
    <w:rsid w:val="00E86F86"/>
    <w:rsid w:val="00EC33EB"/>
    <w:rsid w:val="00EC63C7"/>
    <w:rsid w:val="00ED67C9"/>
    <w:rsid w:val="00EF1185"/>
    <w:rsid w:val="00EF5F5B"/>
    <w:rsid w:val="00F01146"/>
    <w:rsid w:val="00F020D5"/>
    <w:rsid w:val="00F42E28"/>
    <w:rsid w:val="00F63CF4"/>
    <w:rsid w:val="00F66863"/>
    <w:rsid w:val="00F679A6"/>
    <w:rsid w:val="00FB01E6"/>
    <w:rsid w:val="00FB2BB7"/>
    <w:rsid w:val="00FD2969"/>
    <w:rsid w:val="00FF2F1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042"/>
    <w:pPr>
      <w:keepNext/>
      <w:numPr>
        <w:numId w:val="3"/>
      </w:numPr>
      <w:spacing w:after="240"/>
      <w:ind w:left="431" w:hanging="431"/>
      <w:outlineLvl w:val="0"/>
    </w:pPr>
    <w:rPr>
      <w:rFonts w:ascii="Century Gothic" w:hAnsi="Century Gothic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5042"/>
    <w:pPr>
      <w:keepNext/>
      <w:spacing w:after="200"/>
      <w:outlineLvl w:val="1"/>
    </w:pPr>
    <w:rPr>
      <w:rFonts w:ascii="Century Gothic" w:hAnsi="Century Gothic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042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5042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5042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042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5042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5042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5042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0052"/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0052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D6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0DD"/>
    <w:pPr>
      <w:ind w:left="720"/>
      <w:contextualSpacing/>
    </w:pPr>
  </w:style>
  <w:style w:type="paragraph" w:customStyle="1" w:styleId="Body">
    <w:name w:val="Body"/>
    <w:basedOn w:val="Normal"/>
    <w:rsid w:val="0081596C"/>
    <w:pPr>
      <w:spacing w:before="120"/>
    </w:pPr>
    <w:rPr>
      <w:rFonts w:ascii="Century Gothic" w:hAnsi="Century Gothic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1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5042"/>
    <w:rPr>
      <w:rFonts w:ascii="Century Gothic" w:eastAsia="Times New Roman" w:hAnsi="Century Gothic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D5042"/>
    <w:rPr>
      <w:rFonts w:ascii="Century Gothic" w:eastAsia="Times New Roman" w:hAnsi="Century Gothic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CD50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D504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D504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D5042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CD504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D504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D5042"/>
    <w:rPr>
      <w:rFonts w:asciiTheme="majorHAnsi" w:eastAsiaTheme="majorEastAsia" w:hAnsiTheme="majorHAnsi" w:cstheme="majorBidi"/>
    </w:rPr>
  </w:style>
  <w:style w:type="paragraph" w:customStyle="1" w:styleId="ACIFNormal">
    <w:name w:val="ACIF Normal"/>
    <w:basedOn w:val="Normal"/>
    <w:rsid w:val="00CD5042"/>
    <w:pPr>
      <w:spacing w:after="200"/>
    </w:pPr>
    <w:rPr>
      <w:rFonts w:ascii="Century Gothic" w:hAnsi="Century Gothic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042"/>
    <w:pPr>
      <w:keepNext/>
      <w:numPr>
        <w:numId w:val="3"/>
      </w:numPr>
      <w:spacing w:after="240"/>
      <w:ind w:left="431" w:hanging="431"/>
      <w:outlineLvl w:val="0"/>
    </w:pPr>
    <w:rPr>
      <w:rFonts w:ascii="Century Gothic" w:hAnsi="Century Gothic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5042"/>
    <w:pPr>
      <w:keepNext/>
      <w:spacing w:after="200"/>
      <w:outlineLvl w:val="1"/>
    </w:pPr>
    <w:rPr>
      <w:rFonts w:ascii="Century Gothic" w:hAnsi="Century Gothic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042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5042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5042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042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5042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5042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5042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0052"/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0052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D6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0DD"/>
    <w:pPr>
      <w:ind w:left="720"/>
      <w:contextualSpacing/>
    </w:pPr>
  </w:style>
  <w:style w:type="paragraph" w:customStyle="1" w:styleId="Body">
    <w:name w:val="Body"/>
    <w:basedOn w:val="Normal"/>
    <w:rsid w:val="0081596C"/>
    <w:pPr>
      <w:spacing w:before="120"/>
    </w:pPr>
    <w:rPr>
      <w:rFonts w:ascii="Century Gothic" w:hAnsi="Century Gothic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1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5042"/>
    <w:rPr>
      <w:rFonts w:ascii="Century Gothic" w:eastAsia="Times New Roman" w:hAnsi="Century Gothic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D5042"/>
    <w:rPr>
      <w:rFonts w:ascii="Century Gothic" w:eastAsia="Times New Roman" w:hAnsi="Century Gothic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CD50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D504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D504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D5042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CD504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D504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D5042"/>
    <w:rPr>
      <w:rFonts w:asciiTheme="majorHAnsi" w:eastAsiaTheme="majorEastAsia" w:hAnsiTheme="majorHAnsi" w:cstheme="majorBidi"/>
    </w:rPr>
  </w:style>
  <w:style w:type="paragraph" w:customStyle="1" w:styleId="ACIFNormal">
    <w:name w:val="ACIF Normal"/>
    <w:basedOn w:val="Normal"/>
    <w:rsid w:val="00CD5042"/>
    <w:pPr>
      <w:spacing w:after="200"/>
    </w:pPr>
    <w:rPr>
      <w:rFonts w:ascii="Century Gothic" w:hAnsi="Century Goth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2038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2011-12-13T01:17:00Z</dcterms:created>
  <dcterms:modified xsi:type="dcterms:W3CDTF">2013-08-16T03:55:00Z</dcterms:modified>
</cp:coreProperties>
</file>